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B2A55"/>
          <w:sz w:val="42"/>
        </w:rPr>
        <w:t>USER REQUIREMENT SPECIFICATIONS (URS)</w:t>
      </w:r>
    </w:p>
    <w:p>
      <w:pPr>
        <w:jc w:val="center"/>
      </w:pPr>
      <w:r>
        <w:rPr>
          <w:b/>
          <w:color w:val="FF9900"/>
          <w:sz w:val="21"/>
        </w:rPr>
        <w:t>Food Manufacturing Engineering | PED-02 Resource Notes</w:t>
      </w:r>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Series</w:t>
            </w:r>
          </w:p>
        </w:tc>
        <w:tc>
          <w:tcPr>
            <w:tcW w:type="dxa" w:w="5112"/>
          </w:tcPr>
          <w:p>
            <w:r>
              <w:t>AFME Project Engineering &amp; Delivery | PED-02</w:t>
            </w:r>
          </w:p>
        </w:tc>
      </w:tr>
      <w:tr>
        <w:tc>
          <w:tcPr>
            <w:tcW w:type="dxa" w:w="5112"/>
          </w:tcPr>
          <w:p>
            <w:r>
              <w:rPr>
                <w:b/>
              </w:rPr>
              <w:t>Document reference</w:t>
            </w:r>
          </w:p>
        </w:tc>
        <w:tc>
          <w:tcPr>
            <w:tcW w:type="dxa" w:w="5112"/>
          </w:tcPr>
          <w:p>
            <w:r>
              <w:t>AFME-PED02-NTE-001</w:t>
            </w:r>
          </w:p>
        </w:tc>
      </w:tr>
      <w:tr>
        <w:tc>
          <w:tcPr>
            <w:tcW w:type="dxa" w:w="5112"/>
          </w:tcPr>
          <w:p>
            <w:r>
              <w:rPr>
                <w:b/>
              </w:rPr>
              <w:t>Version / date</w:t>
            </w:r>
          </w:p>
        </w:tc>
        <w:tc>
          <w:tcPr>
            <w:tcW w:type="dxa" w:w="5112"/>
          </w:tcPr>
          <w:p>
            <w:r>
              <w:t>1.0 | September 2026</w:t>
            </w:r>
          </w:p>
        </w:tc>
      </w:tr>
      <w:tr>
        <w:tc>
          <w:tcPr>
            <w:tcW w:type="dxa" w:w="5112"/>
          </w:tcPr>
          <w:p>
            <w:r>
              <w:rPr>
                <w:b/>
              </w:rPr>
              <w:t>Owner</w:t>
            </w:r>
          </w:p>
        </w:tc>
        <w:tc>
          <w:tcPr>
            <w:tcW w:type="dxa" w:w="5112"/>
          </w:tcPr>
          <w:p>
            <w:r>
              <w:t>Association of Food Manufacturing Engineers (AFME)</w:t>
            </w:r>
          </w:p>
        </w:tc>
      </w:tr>
      <w:tr>
        <w:tc>
          <w:tcPr>
            <w:tcW w:type="dxa" w:w="5112"/>
          </w:tcPr>
          <w:p>
            <w:r>
              <w:rPr>
                <w:b/>
              </w:rPr>
              <w:t>Corporate relationship</w:t>
            </w:r>
          </w:p>
        </w:tc>
        <w:tc>
          <w:tcPr>
            <w:tcW w:type="dxa" w:w="5112"/>
          </w:tcPr>
          <w:p>
            <w:r>
              <w:t>AFME is part of Lestrad Group Ltd</w:t>
            </w:r>
          </w:p>
        </w:tc>
      </w:tr>
      <w:tr>
        <w:tc>
          <w:tcPr>
            <w:tcW w:type="dxa" w:w="5112"/>
          </w:tcPr>
          <w:p>
            <w:r>
              <w:rPr>
                <w:b/>
              </w:rPr>
              <w:t>Applies to</w:t>
            </w:r>
          </w:p>
        </w:tc>
        <w:tc>
          <w:tcPr>
            <w:tcW w:type="dxa" w:w="5112"/>
          </w:tcPr>
          <w:p>
            <w:r>
              <w:t>New equipment, replacement equipment, automation, inspection systems, utilities, infrastructure and major modifications</w:t>
            </w:r>
          </w:p>
        </w:tc>
      </w:tr>
      <w:tr>
        <w:tc>
          <w:tcPr>
            <w:tcW w:type="dxa" w:w="5112"/>
          </w:tcPr>
          <w:p>
            <w:r>
              <w:rPr>
                <w:b/>
              </w:rPr>
              <w:t>Status</w:t>
            </w:r>
          </w:p>
        </w:tc>
        <w:tc>
          <w:tcPr>
            <w:tcW w:type="dxa" w:w="5112"/>
          </w:tcPr>
          <w:p>
            <w:r>
              <w:t>Independent AFME engineering project-delivery framework</w:t>
            </w:r>
          </w:p>
        </w:tc>
      </w:tr>
    </w:tbl>
    <w:p>
      <w:pPr>
        <w:pStyle w:val="Heading1"/>
      </w:pPr>
      <w:r>
        <w:t>1. What a URS is</w:t>
      </w:r>
    </w:p>
    <w:p>
      <w:r>
        <w:t>A User Requirement Specification defines what the user needs an equipment item, system or project to achieve before the supplier decides how to achieve it. It should describe required functions, performance, interfaces, constraints, standards, acceptance criteria and deliverables clearly enough to support design, quotation, supplier comparison, FAT/SAT and final acceptance.</w:t>
      </w:r>
    </w:p>
    <w:p>
      <w:pPr>
        <w:pStyle w:val="Heading1"/>
      </w:pPr>
      <w:r>
        <w:t>2. Why it matters</w:t>
      </w:r>
    </w:p>
    <w:p>
      <w:r>
        <w:t>A weak URS transfers ambiguity into design and procurement. Ambiguity then becomes supplier assumptions, variations, commissioning disputes, missing documentation, poor maintainability or an asset that technically runs but does not suit the factory.</w:t>
      </w:r>
    </w:p>
    <w:p>
      <w:pPr>
        <w:pStyle w:val="Heading1"/>
      </w:pPr>
      <w:r>
        <w:t>3. Food-manufacturing difference</w:t>
      </w:r>
    </w:p>
    <w:p>
      <w:r>
        <w:t>Food equipment must do more than make product. Requirements may include hygienic design, cleanability, product-contact materials, allergen control, zoning, foreign-body prevention, drainage, water management, food-safe lubricants, validated temperatures, inspection systems and controlled maintenance access.</w:t>
      </w:r>
    </w:p>
    <w:p>
      <w:pPr>
        <w:pStyle w:val="Heading1"/>
      </w:pPr>
      <w:r>
        <w:t>4. State the requirement, not the preferred solution</w:t>
      </w:r>
    </w:p>
    <w:p>
      <w:r>
        <w:t>Where possible describe the required outcome and constraints rather than prematurely specifying the supplier's design. For example: 'The system shall achieve 120 packs/min at the defined product range with no accumulation-related product damage' is stronger than 'fit a faster motor'.</w:t>
      </w:r>
    </w:p>
    <w:p>
      <w:pPr>
        <w:pStyle w:val="Heading1"/>
      </w:pPr>
      <w:r>
        <w:t>5. Use measurable language</w:t>
      </w:r>
    </w:p>
    <w:p>
      <w:r>
        <w:t>Requirements should be testable. Avoid 'easy to clean', 'good access', 'high reliability' or 'low energy'. Define clean-down method/time, service clearances, availability target, utility consumption, changeover duration or other measurable criteria where these matter.</w:t>
      </w:r>
    </w:p>
    <w:p>
      <w:pPr>
        <w:pStyle w:val="Heading1"/>
      </w:pPr>
      <w:r>
        <w:t>6. Classify requirements</w:t>
      </w:r>
    </w:p>
    <w:p>
      <w:r>
        <w:t>PED-02 uses Must / Should / Could. 'Must' requirements are mandatory for acceptance unless formally changed. 'Should' requirements are expected and deviations need justification. 'Could' requirements are desirable/value-adding options.</w:t>
      </w:r>
    </w:p>
    <w:p>
      <w:pPr>
        <w:pStyle w:val="Heading1"/>
      </w:pPr>
      <w:r>
        <w:t>7. Food safety and hygienic design</w:t>
      </w:r>
    </w:p>
    <w:p>
      <w:r>
        <w:t>The URS should identify the intended food environment and cleaning regime so design can be risk-based. EHEDG's current GL 8 Hygienic Design Principles (4th edition, December 2025) addresses design, construction and installation of entities intended for food manufacturing.</w:t>
      </w:r>
    </w:p>
    <w:p>
      <w:pPr>
        <w:pStyle w:val="Heading1"/>
      </w:pPr>
      <w:r>
        <w:t>8. Safety and statutory compliance</w:t>
      </w:r>
    </w:p>
    <w:p>
      <w:r>
        <w:t>Specify the intended operating environment, foreseeable interventions, isolation requirements, access, guarding and statutory expectations. In the UK, work equipment must be suitable, maintained and used with appropriate controls; project teams should obtain competent machinery/electrical/safety advice where required.</w:t>
      </w:r>
    </w:p>
    <w:p>
      <w:pPr>
        <w:pStyle w:val="Heading1"/>
      </w:pPr>
      <w:r>
        <w:t>9. Reliability and maintainability</w:t>
      </w:r>
    </w:p>
    <w:p>
      <w:r>
        <w:t>Specify expectations for component standardisation, diagnostics, critical spares, obsolescence, access, lifting, service clearances, backup/restore, OEM support and recovery. The cheapest compliant machine at purchase may be the highest-cost asset over its life.</w:t>
      </w:r>
    </w:p>
    <w:p>
      <w:pPr>
        <w:pStyle w:val="Heading1"/>
      </w:pPr>
      <w:r>
        <w:t>10. Controls and data</w:t>
      </w:r>
    </w:p>
    <w:p>
      <w:r>
        <w:t>Define site PLC/HMI/SCADA standards, network interfaces, remote access rules, recipes, user levels, alarms, data retention, backup format, software ownership/access and cybersecurity requirements before order placement.</w:t>
      </w:r>
    </w:p>
    <w:p>
      <w:pPr>
        <w:pStyle w:val="Heading1"/>
      </w:pPr>
      <w:r>
        <w:t>11. Utilities</w:t>
      </w:r>
    </w:p>
    <w:p>
      <w:r>
        <w:t>State available and required electrical supply, compressed air, water, steam, gas, refrigeration, drainage, extraction and network requirements. Require suppliers to declare maximum and normal consumption and quality parameters.</w:t>
      </w:r>
    </w:p>
    <w:p>
      <w:pPr>
        <w:pStyle w:val="Heading1"/>
      </w:pPr>
      <w:r>
        <w:t>12. FAT/SAT acceptance</w:t>
      </w:r>
    </w:p>
    <w:p>
      <w:r>
        <w:t>Every important URS requirement should be capable of being traced to evidence, a design document, FAT, SAT, commissioning test or handover deliverable. PED-02 therefore includes a Requirement Traceability Matrix.</w:t>
      </w:r>
    </w:p>
    <w:p>
      <w:pPr>
        <w:pStyle w:val="Heading1"/>
      </w:pPr>
      <w:r>
        <w:t>13. Supplier deviations</w:t>
      </w:r>
    </w:p>
    <w:p>
      <w:r>
        <w:t>Suppliers should identify deviations explicitly rather than silently qualifying them in quotations. Each deviation should be accepted, rejected or resolved before purchase wherever practicable.</w:t>
      </w:r>
    </w:p>
    <w:p>
      <w:pPr>
        <w:pStyle w:val="Heading1"/>
      </w:pPr>
      <w:r>
        <w:t>14. Change control</w:t>
      </w:r>
    </w:p>
    <w:p>
      <w:r>
        <w:t>After URS approval, changes should be controlled. Record the requirement affected, reason, food-safety/H&amp;S/technical/cost/programme impact and approval.</w:t>
      </w:r>
    </w:p>
    <w:p>
      <w:pPr>
        <w:pStyle w:val="Heading1"/>
      </w:pPr>
      <w:r>
        <w:t>15. Handover requirements</w:t>
      </w:r>
    </w:p>
    <w:p>
      <w:r>
        <w:t>The URS should define required drawings, manuals, parts lists, certificates, software backups, source/access arrangements, training, PM recommendations, lubrication, calibration, spares and warranty information as contractual deliverables.</w:t>
      </w:r>
    </w:p>
    <w:p>
      <w:pPr>
        <w:pStyle w:val="Heading1"/>
      </w:pPr>
      <w:r>
        <w:t>16. Practical rule</w:t>
      </w:r>
    </w:p>
    <w:p>
      <w:r>
        <w:t>If a requirement matters enough to argue about after installation, it mattered enough to write down before the order was placed.</w:t>
      </w:r>
    </w:p>
    <w:p>
      <w:pPr>
        <w:pStyle w:val="Heading1"/>
      </w:pPr>
      <w:r>
        <w:t>Recommended URS lifecycle</w:t>
      </w:r>
    </w:p>
    <w:p>
      <w:pPr>
        <w:pStyle w:val="ListNumber"/>
      </w:pPr>
      <w:r>
        <w:t>Define process need and project boundary.</w:t>
      </w:r>
    </w:p>
    <w:p>
      <w:pPr>
        <w:pStyle w:val="ListNumber"/>
      </w:pPr>
      <w:r>
        <w:t>Complete the Core URS and applicable specialist modules.</w:t>
      </w:r>
    </w:p>
    <w:p>
      <w:pPr>
        <w:pStyle w:val="ListNumber"/>
      </w:pPr>
      <w:r>
        <w:t>Review with Operations, Engineering, Technical/Quality, H&amp;S, Hygiene, IT/Automation and Utilities as relevant.</w:t>
      </w:r>
    </w:p>
    <w:p>
      <w:pPr>
        <w:pStyle w:val="ListNumber"/>
      </w:pPr>
      <w:r>
        <w:t>Approve and issue the URS with the enquiry/tender.</w:t>
      </w:r>
    </w:p>
    <w:p>
      <w:pPr>
        <w:pStyle w:val="ListNumber"/>
      </w:pPr>
      <w:r>
        <w:t>Require supplier compliance/deviation response against each requirement.</w:t>
      </w:r>
    </w:p>
    <w:p>
      <w:pPr>
        <w:pStyle w:val="ListNumber"/>
      </w:pPr>
      <w:r>
        <w:t>Resolve critical deviations before order placement.</w:t>
      </w:r>
    </w:p>
    <w:p>
      <w:pPr>
        <w:pStyle w:val="ListNumber"/>
      </w:pPr>
      <w:r>
        <w:t>Use the traceability matrix through design review, FAT, SAT and commissioning.</w:t>
      </w:r>
    </w:p>
    <w:p>
      <w:pPr>
        <w:pStyle w:val="ListNumber"/>
      </w:pPr>
      <w:r>
        <w:t>Control post-approval requirement changes.</w:t>
      </w:r>
    </w:p>
    <w:p>
      <w:pPr>
        <w:pStyle w:val="ListNumber"/>
      </w:pPr>
      <w:r>
        <w:t>Verify documentation, training, PM/calibration and spares at handover.</w:t>
      </w:r>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5"/>
      </w:rPr>
      <w:t>AFME | Association of Food Manufacturing Engineers | Part of Lestrad Group Ltd | AFME-PED02-NTE-001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0374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B2A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B2A5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B2A55"/>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